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BD" w:rsidRDefault="00AC5621">
      <w:r>
        <w:rPr>
          <w:noProof/>
          <w:lang w:eastAsia="es-AR" w:bidi="ar-SA"/>
        </w:rPr>
        <w:drawing>
          <wp:anchor distT="0" distB="0" distL="0" distR="0" simplePos="0" relativeHeight="2" behindDoc="0" locked="0" layoutInCell="0" allowOverlap="1" wp14:anchorId="2C07445E" wp14:editId="2DD69D2C">
            <wp:simplePos x="0" y="0"/>
            <wp:positionH relativeFrom="column">
              <wp:posOffset>-1431925</wp:posOffset>
            </wp:positionH>
            <wp:positionV relativeFrom="paragraph">
              <wp:posOffset>-1097915</wp:posOffset>
            </wp:positionV>
            <wp:extent cx="7560310" cy="10692130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2BD" w:rsidRDefault="002142BD"/>
    <w:p w:rsidR="002142BD" w:rsidRDefault="002142BD"/>
    <w:p w:rsidR="002142BD" w:rsidRDefault="002142BD">
      <w:pPr>
        <w:spacing w:line="360" w:lineRule="auto"/>
        <w:jc w:val="right"/>
        <w:rPr>
          <w:sz w:val="48"/>
          <w:szCs w:val="48"/>
          <w:u w:val="single"/>
        </w:rPr>
      </w:pP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rPr>
          <w:szCs w:val="26"/>
        </w:rPr>
      </w:pPr>
    </w:p>
    <w:p w:rsidR="002142BD" w:rsidRDefault="00A83DFB">
      <w:pPr>
        <w:spacing w:line="360" w:lineRule="auto"/>
        <w:rPr>
          <w:szCs w:val="26"/>
        </w:rPr>
      </w:pPr>
      <w:r w:rsidRPr="00A83DFB">
        <w:rPr>
          <w:noProof/>
          <w:szCs w:val="26"/>
          <w:lang w:eastAsia="es-A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1952625" cy="4572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FB" w:rsidRPr="00A83DFB" w:rsidRDefault="00A83DFB" w:rsidP="00A83DF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35pt;margin-top:1.5pt;width:153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" strokecolor="white [3212]">
                <v:textbox>
                  <w:txbxContent>
                    <w:p w:rsidR="00A83DFB" w:rsidRPr="00A83DFB" w:rsidRDefault="00A83DFB" w:rsidP="00A83DF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ind w:left="1928"/>
        <w:rPr>
          <w:szCs w:val="26"/>
        </w:rPr>
      </w:pPr>
    </w:p>
    <w:p w:rsidR="002142BD" w:rsidRDefault="002142BD">
      <w:pPr>
        <w:spacing w:line="360" w:lineRule="auto"/>
        <w:ind w:left="1928"/>
        <w:rPr>
          <w:szCs w:val="26"/>
        </w:rPr>
      </w:pPr>
    </w:p>
    <w:p w:rsidR="002142BD" w:rsidRDefault="002142BD">
      <w:pPr>
        <w:spacing w:line="360" w:lineRule="auto"/>
        <w:ind w:left="1928"/>
        <w:rPr>
          <w:szCs w:val="26"/>
        </w:rPr>
      </w:pPr>
    </w:p>
    <w:p w:rsidR="002142BD" w:rsidRDefault="002142BD">
      <w:pPr>
        <w:spacing w:line="360" w:lineRule="auto"/>
        <w:ind w:left="1928"/>
        <w:rPr>
          <w:szCs w:val="26"/>
        </w:rPr>
      </w:pPr>
    </w:p>
    <w:p w:rsidR="002142BD" w:rsidRDefault="00C5588D">
      <w:pPr>
        <w:spacing w:line="360" w:lineRule="auto"/>
        <w:rPr>
          <w:szCs w:val="26"/>
        </w:rPr>
      </w:pPr>
      <w:r>
        <w:rPr>
          <w:noProof/>
          <w:szCs w:val="26"/>
          <w:lang w:eastAsia="es-AR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CB32046" wp14:editId="7EEA05F3">
                <wp:simplePos x="0" y="0"/>
                <wp:positionH relativeFrom="page">
                  <wp:align>center</wp:align>
                </wp:positionH>
                <wp:positionV relativeFrom="paragraph">
                  <wp:posOffset>68580</wp:posOffset>
                </wp:positionV>
                <wp:extent cx="4589780" cy="641350"/>
                <wp:effectExtent l="0" t="0" r="1270" b="6350"/>
                <wp:wrapNone/>
                <wp:docPr id="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780" cy="6413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2142BD" w:rsidRPr="00C5588D" w:rsidRDefault="00C5588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5588D">
                              <w:rPr>
                                <w:b/>
                                <w:sz w:val="40"/>
                              </w:rPr>
                              <w:t>Análisis del Consenso Fiscal 2021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2046" id="Forma4" o:spid="_x0000_s1027" type="#_x0000_t202" style="position:absolute;margin-left:0;margin-top:5.4pt;width:361.4pt;height:50.5pt;z-index:1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" o:allowincell="f" filled="f" stroked="f" strokeweight="0">
                <v:textbox inset="0,0,0,0">
                  <w:txbxContent>
                    <w:p w:rsidR="002142BD" w:rsidRPr="00C5588D" w:rsidRDefault="00C5588D">
                      <w:pPr>
                        <w:spacing w:line="36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C5588D">
                        <w:rPr>
                          <w:b/>
                          <w:sz w:val="40"/>
                        </w:rPr>
                        <w:t>Análisis del Consenso Fiscal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rPr>
          <w:szCs w:val="26"/>
        </w:rPr>
      </w:pPr>
    </w:p>
    <w:p w:rsidR="002142BD" w:rsidRDefault="002142BD">
      <w:pPr>
        <w:spacing w:line="360" w:lineRule="auto"/>
        <w:jc w:val="right"/>
        <w:rPr>
          <w:szCs w:val="26"/>
        </w:rPr>
      </w:pPr>
    </w:p>
    <w:p w:rsidR="002142BD" w:rsidRDefault="002142BD">
      <w:pPr>
        <w:spacing w:line="360" w:lineRule="auto"/>
        <w:jc w:val="right"/>
        <w:rPr>
          <w:szCs w:val="26"/>
        </w:rPr>
      </w:pPr>
    </w:p>
    <w:p w:rsidR="002142BD" w:rsidRDefault="00AC5621">
      <w:pPr>
        <w:spacing w:line="360" w:lineRule="auto"/>
        <w:jc w:val="right"/>
        <w:rPr>
          <w:szCs w:val="26"/>
        </w:rPr>
      </w:pPr>
      <w:r>
        <w:rPr>
          <w:noProof/>
          <w:szCs w:val="26"/>
          <w:lang w:eastAsia="es-AR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-81280</wp:posOffset>
                </wp:positionV>
                <wp:extent cx="2823210" cy="1160780"/>
                <wp:effectExtent l="0" t="0" r="0" b="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116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2142BD" w:rsidRDefault="002142BD" w:rsidP="00C00531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8" type="#_x0000_t202" style="position:absolute;left:0;text-align:left;margin-left:199.55pt;margin-top:-6.4pt;width:222.3pt;height:91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" o:allowincell="f" filled="f" stroked="f" strokeweight="0">
                <v:textbox inset="0,0,0,0">
                  <w:txbxContent>
                    <w:p w:rsidR="002142BD" w:rsidRDefault="002142BD" w:rsidP="00C005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142BD" w:rsidRDefault="00AC5621">
      <w:pPr>
        <w:spacing w:line="360" w:lineRule="auto"/>
        <w:jc w:val="right"/>
        <w:rPr>
          <w:szCs w:val="26"/>
        </w:rPr>
        <w:sectPr w:rsidR="002142BD">
          <w:pgSz w:w="11906" w:h="16838"/>
          <w:pgMar w:top="1728" w:right="1134" w:bottom="1162" w:left="2268" w:header="1162" w:footer="0" w:gutter="0"/>
          <w:cols w:space="720"/>
          <w:formProt w:val="0"/>
          <w:titlePg/>
          <w:docGrid w:linePitch="312" w:charSpace="-10241"/>
        </w:sectPr>
      </w:pPr>
      <w:r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3047695</wp:posOffset>
                </wp:positionH>
                <wp:positionV relativeFrom="paragraph">
                  <wp:posOffset>1107923</wp:posOffset>
                </wp:positionV>
                <wp:extent cx="2362861" cy="986760"/>
                <wp:effectExtent l="0" t="0" r="18415" b="4445"/>
                <wp:wrapNone/>
                <wp:docPr id="6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61" cy="98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2142BD" w:rsidRDefault="00AC5621" w:rsidP="00DF481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Ushuaia, </w:t>
                            </w:r>
                            <w:r w:rsidR="00690F51">
                              <w:rPr>
                                <w:b/>
                                <w:bCs/>
                                <w:szCs w:val="26"/>
                              </w:rPr>
                              <w:t>21</w:t>
                            </w:r>
                            <w:r w:rsidR="00DF481F">
                              <w:rPr>
                                <w:b/>
                                <w:bCs/>
                                <w:szCs w:val="26"/>
                              </w:rPr>
                              <w:t xml:space="preserve"> de octubre</w:t>
                            </w:r>
                            <w:r w:rsidR="00D5020A">
                              <w:rPr>
                                <w:b/>
                                <w:bCs/>
                                <w:szCs w:val="26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2" o:spid="_x0000_s1029" type="#_x0000_t202" style="position:absolute;left:0;text-align:left;margin-left:240pt;margin-top:87.25pt;width:186.05pt;height:77.7pt;z-index: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" o:allowincell="f" filled="f" stroked="f" strokeweight="0">
                <v:textbox inset="0,0,0,0">
                  <w:txbxContent>
                    <w:p w:rsidR="002142BD" w:rsidRDefault="00AC5621" w:rsidP="00DF481F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Ushuaia, </w:t>
                      </w:r>
                      <w:r w:rsidR="00690F51">
                        <w:rPr>
                          <w:b/>
                          <w:bCs/>
                          <w:szCs w:val="26"/>
                        </w:rPr>
                        <w:t>21</w:t>
                      </w:r>
                      <w:r w:rsidR="00DF481F">
                        <w:rPr>
                          <w:b/>
                          <w:bCs/>
                          <w:szCs w:val="26"/>
                        </w:rPr>
                        <w:t xml:space="preserve"> de octubre</w:t>
                      </w:r>
                      <w:r w:rsidR="00D5020A">
                        <w:rPr>
                          <w:b/>
                          <w:bCs/>
                          <w:szCs w:val="26"/>
                        </w:rPr>
                        <w:t xml:space="preserve"> de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6"/>
        </w:rPr>
        <w:t xml:space="preserve"> </w:t>
      </w: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  <w:sectPr w:rsidR="002142BD">
          <w:headerReference w:type="even" r:id="rId9"/>
          <w:headerReference w:type="default" r:id="rId10"/>
          <w:pgSz w:w="11906" w:h="16838"/>
          <w:pgMar w:top="1716" w:right="1134" w:bottom="1134" w:left="1134" w:header="1134" w:footer="0" w:gutter="0"/>
          <w:cols w:space="720"/>
          <w:formProt w:val="0"/>
          <w:docGrid w:linePitch="312" w:charSpace="-10241"/>
        </w:sect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>
      <w:pPr>
        <w:spacing w:line="360" w:lineRule="auto"/>
        <w:jc w:val="both"/>
        <w:rPr>
          <w:szCs w:val="26"/>
        </w:rPr>
      </w:pPr>
    </w:p>
    <w:p w:rsidR="002142BD" w:rsidRDefault="002142BD" w:rsidP="001761A4"/>
    <w:p w:rsidR="002142BD" w:rsidRDefault="002142BD"/>
    <w:p w:rsidR="002142BD" w:rsidRDefault="002142BD"/>
    <w:sdt>
      <w:sdtPr>
        <w:rPr>
          <w:rFonts w:eastAsia="NSimSun"/>
          <w:b w:val="0"/>
          <w:bCs w:val="0"/>
          <w:szCs w:val="24"/>
        </w:rPr>
        <w:id w:val="684020332"/>
        <w:docPartObj>
          <w:docPartGallery w:val="Table of Contents"/>
          <w:docPartUnique/>
        </w:docPartObj>
      </w:sdtPr>
      <w:sdtEndPr/>
      <w:sdtContent>
        <w:p w:rsidR="002142BD" w:rsidRDefault="00AC5621">
          <w:pPr>
            <w:pStyle w:val="Encabezadodelista"/>
          </w:pPr>
          <w:r>
            <w:t>Índice</w:t>
          </w:r>
        </w:p>
        <w:p w:rsidR="00376ABD" w:rsidRDefault="00AC5621">
          <w:pPr>
            <w:pStyle w:val="TD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s-AR" w:bidi="ar-SA"/>
            </w:rPr>
          </w:pPr>
          <w:r>
            <w:fldChar w:fldCharType="begin"/>
          </w:r>
          <w:r>
            <w:rPr>
              <w:rStyle w:val="Enlacedelndice"/>
            </w:rPr>
            <w:instrText>TOC \f \o "1-9" \h</w:instrText>
          </w:r>
          <w:r>
            <w:rPr>
              <w:rStyle w:val="Enlacedelndice"/>
            </w:rPr>
            <w:fldChar w:fldCharType="separate"/>
          </w:r>
          <w:hyperlink w:anchor="_Toc117504150" w:history="1">
            <w:r w:rsidR="00376ABD" w:rsidRPr="00C44EAB">
              <w:rPr>
                <w:rStyle w:val="Hipervnculo"/>
                <w:noProof/>
              </w:rPr>
              <w:t>1.</w:t>
            </w:r>
            <w:r w:rsidR="00376AB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es-AR" w:bidi="ar-SA"/>
              </w:rPr>
              <w:tab/>
            </w:r>
            <w:r w:rsidR="00376ABD" w:rsidRPr="00C44EAB">
              <w:rPr>
                <w:rStyle w:val="Hipervnculo"/>
                <w:noProof/>
              </w:rPr>
              <w:t>Destinatario</w:t>
            </w:r>
            <w:r w:rsidR="00376ABD">
              <w:rPr>
                <w:noProof/>
              </w:rPr>
              <w:tab/>
            </w:r>
            <w:r w:rsidR="00376ABD">
              <w:rPr>
                <w:noProof/>
              </w:rPr>
              <w:fldChar w:fldCharType="begin"/>
            </w:r>
            <w:r w:rsidR="00376ABD">
              <w:rPr>
                <w:noProof/>
              </w:rPr>
              <w:instrText xml:space="preserve"> PAGEREF _Toc117504150 \h </w:instrText>
            </w:r>
            <w:r w:rsidR="00376ABD">
              <w:rPr>
                <w:noProof/>
              </w:rPr>
            </w:r>
            <w:r w:rsidR="00376ABD">
              <w:rPr>
                <w:noProof/>
              </w:rPr>
              <w:fldChar w:fldCharType="separate"/>
            </w:r>
            <w:r w:rsidR="00376ABD">
              <w:rPr>
                <w:noProof/>
              </w:rPr>
              <w:t>5</w:t>
            </w:r>
            <w:r w:rsidR="00376ABD">
              <w:rPr>
                <w:noProof/>
              </w:rPr>
              <w:fldChar w:fldCharType="end"/>
            </w:r>
          </w:hyperlink>
        </w:p>
        <w:p w:rsidR="00376ABD" w:rsidRDefault="00376ABD">
          <w:pPr>
            <w:pStyle w:val="TD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s-AR" w:bidi="ar-SA"/>
            </w:rPr>
          </w:pPr>
          <w:hyperlink w:anchor="_Toc117504151" w:history="1">
            <w:r w:rsidRPr="00C44EAB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es-AR" w:bidi="ar-SA"/>
              </w:rPr>
              <w:tab/>
            </w:r>
            <w:r w:rsidRPr="00C44EAB">
              <w:rPr>
                <w:rStyle w:val="Hipervnculo"/>
                <w:noProof/>
              </w:rPr>
              <w:t>Objeto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_Toc117504151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376ABD" w:rsidRDefault="00376ABD">
          <w:pPr>
            <w:pStyle w:val="TD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s-AR" w:bidi="ar-SA"/>
            </w:rPr>
          </w:pPr>
          <w:hyperlink w:anchor="_Toc117504152" w:history="1">
            <w:r w:rsidRPr="00C44EAB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es-AR" w:bidi="ar-SA"/>
              </w:rPr>
              <w:tab/>
            </w:r>
            <w:r w:rsidRPr="00C44EAB">
              <w:rPr>
                <w:rStyle w:val="Hipervnculo"/>
                <w:noProof/>
              </w:rPr>
              <w:t>Análisis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_Toc117504152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2142BD" w:rsidRDefault="00AC5621">
          <w:pPr>
            <w:pStyle w:val="TDC1"/>
          </w:pPr>
          <w:r>
            <w:rPr>
              <w:rStyle w:val="Enlacedelndice"/>
            </w:rPr>
            <w:fldChar w:fldCharType="end"/>
          </w:r>
        </w:p>
      </w:sdtContent>
    </w:sdt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/>
    <w:p w:rsidR="002142BD" w:rsidRDefault="002142BD">
      <w:pPr>
        <w:sectPr w:rsidR="002142B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3769" w:right="1134" w:bottom="1728" w:left="2268" w:header="1162" w:footer="1162" w:gutter="0"/>
          <w:cols w:space="720"/>
          <w:formProt w:val="0"/>
          <w:docGrid w:linePitch="312" w:charSpace="-10241"/>
        </w:sectPr>
      </w:pPr>
    </w:p>
    <w:p w:rsidR="002142BD" w:rsidRDefault="002142BD"/>
    <w:p w:rsidR="002142BD" w:rsidRDefault="002142BD">
      <w:pPr>
        <w:sectPr w:rsidR="002142B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3538" w:right="1134" w:bottom="1744" w:left="2268" w:header="1162" w:footer="1162" w:gutter="0"/>
          <w:cols w:space="720"/>
          <w:formProt w:val="0"/>
          <w:docGrid w:linePitch="312" w:charSpace="-10241"/>
        </w:sectPr>
      </w:pPr>
    </w:p>
    <w:p w:rsidR="002142BD" w:rsidRPr="00690F51" w:rsidRDefault="00AC5621">
      <w:pPr>
        <w:pStyle w:val="Ttulo1"/>
      </w:pPr>
      <w:bookmarkStart w:id="0" w:name="_Toc117504150"/>
      <w:r w:rsidRPr="00690F51">
        <w:lastRenderedPageBreak/>
        <w:t>Destinatario</w:t>
      </w:r>
      <w:bookmarkEnd w:id="0"/>
    </w:p>
    <w:p w:rsidR="002142BD" w:rsidRDefault="00AC5621">
      <w:pPr>
        <w:spacing w:line="360" w:lineRule="auto"/>
        <w:ind w:firstLine="1134"/>
        <w:jc w:val="both"/>
        <w:rPr>
          <w:szCs w:val="26"/>
        </w:rPr>
      </w:pPr>
      <w:r>
        <w:rPr>
          <w:szCs w:val="26"/>
        </w:rPr>
        <w:t>El presente informe está d</w:t>
      </w:r>
      <w:r w:rsidR="00D5020A">
        <w:rPr>
          <w:szCs w:val="26"/>
        </w:rPr>
        <w:t>irigido a la Secretaría Contable</w:t>
      </w:r>
      <w:r w:rsidR="00690F51">
        <w:rPr>
          <w:szCs w:val="26"/>
        </w:rPr>
        <w:t xml:space="preserve"> de este Tribunal.</w:t>
      </w:r>
    </w:p>
    <w:p w:rsidR="002142BD" w:rsidRDefault="00AC5621">
      <w:pPr>
        <w:pStyle w:val="Ttulo1"/>
      </w:pPr>
      <w:bookmarkStart w:id="1" w:name="_Toc117504151"/>
      <w:r>
        <w:t>Objeto</w:t>
      </w:r>
      <w:bookmarkEnd w:id="1"/>
    </w:p>
    <w:p w:rsidR="002142BD" w:rsidRDefault="00C5588D">
      <w:pPr>
        <w:spacing w:line="360" w:lineRule="auto"/>
        <w:ind w:firstLine="1134"/>
        <w:jc w:val="both"/>
        <w:rPr>
          <w:szCs w:val="26"/>
        </w:rPr>
      </w:pPr>
      <w:r>
        <w:rPr>
          <w:szCs w:val="26"/>
        </w:rPr>
        <w:t>Análisis de</w:t>
      </w:r>
      <w:r w:rsidR="009863EA">
        <w:rPr>
          <w:szCs w:val="26"/>
        </w:rPr>
        <w:t xml:space="preserve"> los principa</w:t>
      </w:r>
      <w:r>
        <w:rPr>
          <w:szCs w:val="26"/>
        </w:rPr>
        <w:t>l</w:t>
      </w:r>
      <w:r w:rsidR="009863EA">
        <w:rPr>
          <w:szCs w:val="26"/>
        </w:rPr>
        <w:t>es aspectos a considerar</w:t>
      </w:r>
      <w:r w:rsidR="00376ABD">
        <w:rPr>
          <w:szCs w:val="26"/>
        </w:rPr>
        <w:t xml:space="preserve"> Acuerdo</w:t>
      </w:r>
      <w:r>
        <w:rPr>
          <w:szCs w:val="26"/>
        </w:rPr>
        <w:t xml:space="preserve"> Consenso Fiscal 2021, </w:t>
      </w:r>
      <w:r w:rsidR="00690F51">
        <w:rPr>
          <w:szCs w:val="26"/>
        </w:rPr>
        <w:t xml:space="preserve">registrado bajo el N.º 21.693, </w:t>
      </w:r>
      <w:r>
        <w:rPr>
          <w:szCs w:val="26"/>
        </w:rPr>
        <w:t>aprobado mediante Ley Nacional N.º 27.687 y Ley Provincial N.º 1410</w:t>
      </w:r>
      <w:r w:rsidR="00AC5621">
        <w:rPr>
          <w:szCs w:val="26"/>
        </w:rPr>
        <w:t>.</w:t>
      </w:r>
    </w:p>
    <w:p w:rsidR="002142BD" w:rsidRDefault="00AC5621">
      <w:pPr>
        <w:pStyle w:val="Ttulo1"/>
      </w:pPr>
      <w:bookmarkStart w:id="2" w:name="_Toc117504152"/>
      <w:r>
        <w:t>Análisis</w:t>
      </w:r>
      <w:bookmarkEnd w:id="2"/>
    </w:p>
    <w:p w:rsidR="00EF7317" w:rsidRPr="00A31071" w:rsidRDefault="00EF7317" w:rsidP="001455B2">
      <w:pPr>
        <w:spacing w:line="360" w:lineRule="auto"/>
        <w:ind w:firstLine="1134"/>
        <w:jc w:val="both"/>
      </w:pPr>
      <w:r>
        <w:t xml:space="preserve">Mediante </w:t>
      </w:r>
      <w:r w:rsidR="00A31071">
        <w:t xml:space="preserve">la </w:t>
      </w:r>
      <w:r>
        <w:t xml:space="preserve">Ley Provincial N.º 1410, sancionada el 07/03/2022, </w:t>
      </w:r>
      <w:r w:rsidR="00197885">
        <w:t>BO</w:t>
      </w:r>
      <w:r w:rsidR="00376ABD">
        <w:t>P</w:t>
      </w:r>
      <w:r w:rsidR="00197885">
        <w:t xml:space="preserve"> 08/03/2022, </w:t>
      </w:r>
      <w:r>
        <w:t>se aprueba en todos sus términos el Acuerdo de Consenso Fiscal 2021, registrado bajo N.º 21.693. A posterior, mediante Ley Nacional N.º 2</w:t>
      </w:r>
      <w:r w:rsidR="00A31071">
        <w:t>7.687, sancionada el 15/09/2022,</w:t>
      </w:r>
      <w:r w:rsidR="00197885">
        <w:t xml:space="preserve"> BO 04/10/2022</w:t>
      </w:r>
      <w:r w:rsidR="00186580">
        <w:t>,</w:t>
      </w:r>
      <w:r w:rsidR="00A31071" w:rsidRPr="00A31071">
        <w:t xml:space="preserve"> </w:t>
      </w:r>
      <w:r w:rsidR="00197885">
        <w:t>es</w:t>
      </w:r>
      <w:r w:rsidR="00A31071">
        <w:t xml:space="preserve"> aprobado por el Gobierno Nacional.</w:t>
      </w:r>
    </w:p>
    <w:p w:rsidR="00EF7317" w:rsidRDefault="00696831" w:rsidP="00EF7317">
      <w:pPr>
        <w:spacing w:line="360" w:lineRule="auto"/>
        <w:ind w:firstLine="1134"/>
        <w:jc w:val="both"/>
      </w:pPr>
      <w:r>
        <w:t>En virtud de que a través del mismo las partes asumen una serie de compromisos</w:t>
      </w:r>
      <w:r w:rsidR="00EF7317">
        <w:t>, se procede a analizar su contenido</w:t>
      </w:r>
      <w:r w:rsidR="00376ABD">
        <w:t xml:space="preserve"> a continuación</w:t>
      </w:r>
      <w:r w:rsidR="00EF7317">
        <w:t>, a saber:</w:t>
      </w:r>
    </w:p>
    <w:p w:rsidR="00EF7317" w:rsidRDefault="00EF7317" w:rsidP="00EF7317">
      <w:pPr>
        <w:spacing w:line="360" w:lineRule="auto"/>
        <w:ind w:firstLine="1134"/>
        <w:jc w:val="both"/>
      </w:pPr>
    </w:p>
    <w:p w:rsidR="00EF7317" w:rsidRPr="00EF7317" w:rsidRDefault="00EF7317" w:rsidP="00EF7317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</w:rPr>
      </w:pPr>
      <w:r w:rsidRPr="00EF7317">
        <w:rPr>
          <w:b/>
        </w:rPr>
        <w:t xml:space="preserve">De lo establecido en </w:t>
      </w:r>
      <w:r w:rsidR="00FD7DAD">
        <w:rPr>
          <w:b/>
        </w:rPr>
        <w:t>las cláusulas</w:t>
      </w:r>
      <w:r w:rsidRPr="00EF7317">
        <w:rPr>
          <w:b/>
        </w:rPr>
        <w:t xml:space="preserve"> PRIMERA a SÉPTIMA, en relación a los </w:t>
      </w:r>
      <w:r w:rsidRPr="00592276">
        <w:rPr>
          <w:b/>
        </w:rPr>
        <w:t xml:space="preserve">compromisos en materia </w:t>
      </w:r>
      <w:r w:rsidRPr="00592276">
        <w:rPr>
          <w:b/>
          <w:u w:val="single"/>
        </w:rPr>
        <w:t>tributaria</w:t>
      </w:r>
      <w:r w:rsidRPr="00EF7317">
        <w:rPr>
          <w:b/>
        </w:rPr>
        <w:t>:</w:t>
      </w:r>
    </w:p>
    <w:p w:rsidR="00822C9E" w:rsidRDefault="00822C9E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t xml:space="preserve">Continúa el compromiso de las Provincias de remitir una vez al año a la AFIP la información sobre la titularidad de bienes inmuebles y otros bienes registrables, </w:t>
      </w:r>
      <w:r w:rsidR="00A31071">
        <w:t>así</w:t>
      </w:r>
      <w:r>
        <w:t xml:space="preserve"> como su valuación al 31/12 de cada año.</w:t>
      </w:r>
    </w:p>
    <w:p w:rsidR="00D7201E" w:rsidRDefault="00FD7DAD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 w:rsidRPr="00FD7DAD">
        <w:t>El Gobierno Nacional se compromete a impulsar una ley que otorgue el marco jurídico, económico y financiero necesario para que el Organismo Federal de Valuaciones de Inmuebles (</w:t>
      </w:r>
      <w:proofErr w:type="spellStart"/>
      <w:r w:rsidRPr="00FD7DAD">
        <w:t>O.Fe.V.I</w:t>
      </w:r>
      <w:proofErr w:type="spellEnd"/>
      <w:r w:rsidRPr="00FD7DAD">
        <w:t>.) pueda llevar a cabo sus responsabilidades.</w:t>
      </w:r>
    </w:p>
    <w:p w:rsidR="00822C9E" w:rsidRDefault="00822C9E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lastRenderedPageBreak/>
        <w:t xml:space="preserve">Se contempla gravar en IIBB el comercio electrónico de servicios digitales prestados por sujetos radicados en el exterior a sujetos constituidos en jurisdicción provincial, incluyendo el servicio de suscripción online para entretenimiento (música, videos, juegos, </w:t>
      </w:r>
      <w:proofErr w:type="spellStart"/>
      <w:r>
        <w:t>etc</w:t>
      </w:r>
      <w:proofErr w:type="spellEnd"/>
      <w:r>
        <w:t xml:space="preserve">) y la intermediación en la prestación de servicios de toda índole (hoteleros, turísticos, financieros, </w:t>
      </w:r>
      <w:proofErr w:type="spellStart"/>
      <w:r>
        <w:t>etc</w:t>
      </w:r>
      <w:proofErr w:type="spellEnd"/>
      <w:r>
        <w:t>) y las actividades de juego que se desarrollen y/o exploten a través de cualquier medio.</w:t>
      </w:r>
    </w:p>
    <w:p w:rsidR="00D7201E" w:rsidRDefault="00D7201E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 w:rsidRPr="00D7201E">
        <w:t>Define alícuotas máximas para IIBB, algunas superiores a las vigentes, permitiendo a las Provincias incrementarlas hasta dicho tope.</w:t>
      </w:r>
    </w:p>
    <w:p w:rsidR="00822C9E" w:rsidRDefault="00822C9E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t xml:space="preserve">En relación a las actividades </w:t>
      </w:r>
      <w:proofErr w:type="spellStart"/>
      <w:r>
        <w:t>hidrocarburíferas</w:t>
      </w:r>
      <w:proofErr w:type="spellEnd"/>
      <w:r>
        <w:t xml:space="preserve"> y sus servicios complementarios, continuarán aplicando las alícuotas establecidas en el Título III de la Ley N.º 23.966 (Ley Nacional de Hidrocarburos).</w:t>
      </w:r>
    </w:p>
    <w:p w:rsidR="00822C9E" w:rsidRDefault="00822C9E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t xml:space="preserve">En relación al Impuesto de Sellos, contemplan </w:t>
      </w:r>
      <w:r w:rsidRPr="00FC1BCF">
        <w:t>establecer una alícuota máxima de 3,5% a la transferencia de inmuebles, 3% a</w:t>
      </w:r>
      <w:r>
        <w:t xml:space="preserve"> la de automotores y 2% a los restantes actos, contratos y operaciones alcanzadas.</w:t>
      </w:r>
    </w:p>
    <w:p w:rsidR="00822C9E" w:rsidRDefault="00822C9E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t xml:space="preserve">En relación al Impuesto a los Automotores, las Provincias se comprometen a determinar como base imponible del Impuesto, como mínimo, el 95% de las valuaciones de los vehículos </w:t>
      </w:r>
      <w:r w:rsidR="00B833F3">
        <w:t>automotores</w:t>
      </w:r>
      <w:r>
        <w:t xml:space="preserve"> que establezca la DNRNPA</w:t>
      </w:r>
      <w:r w:rsidR="00B833F3">
        <w:t xml:space="preserve"> y promueve a que los gobiernos municipales se atañen a ello en caso de que se haya delegado el tributo.</w:t>
      </w:r>
    </w:p>
    <w:p w:rsidR="00645D5A" w:rsidRDefault="00645D5A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t xml:space="preserve">En relación al Impuesto Inmobiliario, se comprometen a adoptar para el cálculo y determinación de las valuaciones fiscales de los inmuebles, los procedimientos y metodologías de valuaciones uniformes establecidos por el </w:t>
      </w:r>
      <w:proofErr w:type="spellStart"/>
      <w:r>
        <w:t>O.Fe.V.I</w:t>
      </w:r>
      <w:proofErr w:type="spellEnd"/>
      <w:r>
        <w:t>.</w:t>
      </w:r>
    </w:p>
    <w:p w:rsidR="00645D5A" w:rsidRDefault="00645D5A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lastRenderedPageBreak/>
        <w:t>Las Provincias mantendrán la derogación de los tributos específicos que gravan la transferencia de combustible, gas, energía eléctrica, excepto que se trate de transferencias destinadas a consumidores finales.</w:t>
      </w:r>
    </w:p>
    <w:p w:rsidR="00EF7317" w:rsidRDefault="00645D5A" w:rsidP="00D7201E">
      <w:pPr>
        <w:pStyle w:val="Prrafodelista"/>
        <w:numPr>
          <w:ilvl w:val="0"/>
          <w:numId w:val="15"/>
        </w:numPr>
        <w:spacing w:line="360" w:lineRule="auto"/>
        <w:jc w:val="both"/>
      </w:pPr>
      <w:r>
        <w:t>Finalmente, s</w:t>
      </w:r>
      <w:r w:rsidR="00D7201E" w:rsidRPr="00D7201E">
        <w:t>e comprometen a analizar una posible promulgación del Impuesto a la Herencia, legados, donaciones y anticipos de herencia, de carácter progresivo; delegando la potestad en cada Provincia.</w:t>
      </w:r>
    </w:p>
    <w:p w:rsidR="00EF7317" w:rsidRDefault="00EF7317" w:rsidP="00EF7317">
      <w:pPr>
        <w:spacing w:line="360" w:lineRule="auto"/>
        <w:ind w:firstLine="1134"/>
        <w:jc w:val="both"/>
      </w:pPr>
    </w:p>
    <w:p w:rsidR="00EF7317" w:rsidRPr="00EF7317" w:rsidRDefault="00EF7317" w:rsidP="00EF7317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</w:rPr>
      </w:pPr>
      <w:r w:rsidRPr="00EF7317">
        <w:rPr>
          <w:b/>
        </w:rPr>
        <w:t xml:space="preserve">De lo establecido en </w:t>
      </w:r>
      <w:r w:rsidR="00FD7DAD">
        <w:rPr>
          <w:b/>
        </w:rPr>
        <w:t>las cláusulas</w:t>
      </w:r>
      <w:r w:rsidRPr="00EF7317">
        <w:rPr>
          <w:b/>
        </w:rPr>
        <w:t xml:space="preserve"> </w:t>
      </w:r>
      <w:r>
        <w:rPr>
          <w:b/>
        </w:rPr>
        <w:t xml:space="preserve">OCTAVA </w:t>
      </w:r>
      <w:r w:rsidRPr="00EF7317">
        <w:rPr>
          <w:b/>
        </w:rPr>
        <w:t xml:space="preserve">a </w:t>
      </w:r>
      <w:r>
        <w:rPr>
          <w:b/>
        </w:rPr>
        <w:t>DECIMOPRIMERA</w:t>
      </w:r>
      <w:r w:rsidRPr="00EF7317">
        <w:rPr>
          <w:b/>
        </w:rPr>
        <w:t xml:space="preserve">, en relación a los </w:t>
      </w:r>
      <w:r w:rsidRPr="00592276">
        <w:rPr>
          <w:b/>
        </w:rPr>
        <w:t xml:space="preserve">compromisos en materia de </w:t>
      </w:r>
      <w:r w:rsidRPr="00592276">
        <w:rPr>
          <w:b/>
          <w:u w:val="single"/>
        </w:rPr>
        <w:t>endeudamiento responsable</w:t>
      </w:r>
      <w:r w:rsidRPr="00EF7317">
        <w:rPr>
          <w:b/>
        </w:rPr>
        <w:t>:</w:t>
      </w:r>
    </w:p>
    <w:p w:rsidR="00EF7317" w:rsidRDefault="00D7201E" w:rsidP="00D7201E">
      <w:pPr>
        <w:pStyle w:val="Prrafodelista"/>
        <w:numPr>
          <w:ilvl w:val="0"/>
          <w:numId w:val="14"/>
        </w:numPr>
        <w:spacing w:line="360" w:lineRule="auto"/>
        <w:jc w:val="both"/>
      </w:pPr>
      <w:r w:rsidRPr="00D7201E">
        <w:t>Durante el año 2022, las Provincias sólo podrán incrementar el stock de deuda denominada en moneda extranjera en determinados casos; entre ellos, los incrementos de stock generados por operaciones que impliquen administración de pasivos y/o canjes y/o reestructuraciones de los servicios de vencimiento de intereses y/o amortizaciones de capital de títulos públicos denominados en moneda extranjera emitidos con anterioridad al 31/12/20; lo que permitiría reestructurar el bono provincial TFU27.</w:t>
      </w:r>
    </w:p>
    <w:p w:rsidR="00F530B8" w:rsidRDefault="00F530B8" w:rsidP="00D7201E">
      <w:pPr>
        <w:pStyle w:val="Prrafodelista"/>
        <w:numPr>
          <w:ilvl w:val="0"/>
          <w:numId w:val="14"/>
        </w:numPr>
        <w:spacing w:line="360" w:lineRule="auto"/>
        <w:jc w:val="both"/>
      </w:pPr>
      <w:r>
        <w:t>Las operaciones de emisión de Títulos Públicos en moneda nacional de las Provincias, cuyo vencimiento sea igual o superior a los 18 meses desde su emisión, estarán exceptuados de lo establecido en los artículos 7º y 10º de la Ley N.º 23.928 siempre y cuando los fondos obtenidos se destinen a financiar obras de infraestructura o a reestructuración de servicios de deuda.</w:t>
      </w:r>
    </w:p>
    <w:p w:rsidR="00F5041E" w:rsidRDefault="00F5041E" w:rsidP="00D7201E">
      <w:pPr>
        <w:pStyle w:val="Prrafodelista"/>
        <w:numPr>
          <w:ilvl w:val="0"/>
          <w:numId w:val="14"/>
        </w:numPr>
        <w:spacing w:line="360" w:lineRule="auto"/>
        <w:jc w:val="both"/>
      </w:pPr>
      <w:r>
        <w:t xml:space="preserve">En este apartado, cabe destacar </w:t>
      </w:r>
      <w:r w:rsidR="003A129A">
        <w:t xml:space="preserve">la sanción de la Ley Provincial N.º 1422, donde en su artículo 5º autoriza al Poder Ejecutivo a realizar las adecuaciones de crédito público autorizadas mediante Ley Provincial N.º 1141, preservando el principio de sustentabilidad de la deuda pública </w:t>
      </w:r>
      <w:r w:rsidR="003A129A">
        <w:lastRenderedPageBreak/>
        <w:t>provincial, en la medida en que cumpla con las previsiones del artículo 70 de la Constitución Provincial y fijando un plazo mínimo de 12 meses.</w:t>
      </w:r>
    </w:p>
    <w:p w:rsidR="003A129A" w:rsidRDefault="003A129A" w:rsidP="003A129A">
      <w:pPr>
        <w:pStyle w:val="Prrafodelista"/>
        <w:numPr>
          <w:ilvl w:val="1"/>
          <w:numId w:val="14"/>
        </w:numPr>
        <w:spacing w:line="360" w:lineRule="auto"/>
        <w:jc w:val="both"/>
      </w:pPr>
      <w:r>
        <w:t>La Ley Provincial N.º 1141, dispone fijar en $7.000.000.000 el monto máximo de emisión de letras para cubrir deficiencias estacionales de caja.</w:t>
      </w:r>
    </w:p>
    <w:p w:rsidR="00D85F2A" w:rsidRDefault="00D85F2A" w:rsidP="00C71B2C">
      <w:pPr>
        <w:pStyle w:val="Prrafodelista"/>
        <w:numPr>
          <w:ilvl w:val="1"/>
          <w:numId w:val="14"/>
        </w:numPr>
        <w:spacing w:line="360" w:lineRule="auto"/>
        <w:jc w:val="both"/>
      </w:pPr>
      <w:r>
        <w:t>La pieza administrativa N.º 20049-MFP-2022 tramitó la contratación del servicio de asesoría, proceso de emisión y colocación de letras del tesoro, el cual fue intervenido por este Organismo, mediante Acta de Constatación TCP-PE N.º 34/2022 (Control Preventivo).</w:t>
      </w:r>
    </w:p>
    <w:p w:rsidR="001455B2" w:rsidRDefault="001455B2" w:rsidP="001455B2">
      <w:pPr>
        <w:spacing w:line="360" w:lineRule="auto"/>
        <w:ind w:firstLine="1134"/>
        <w:jc w:val="both"/>
      </w:pPr>
    </w:p>
    <w:p w:rsidR="00EF7317" w:rsidRDefault="00EF7317" w:rsidP="00EF7317">
      <w:pPr>
        <w:spacing w:line="360" w:lineRule="auto"/>
        <w:ind w:firstLine="1134"/>
        <w:jc w:val="both"/>
      </w:pPr>
    </w:p>
    <w:p w:rsidR="00EF7317" w:rsidRPr="00EF7317" w:rsidRDefault="00EF7317" w:rsidP="00EF7317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</w:rPr>
      </w:pPr>
      <w:r w:rsidRPr="00EF7317">
        <w:rPr>
          <w:b/>
        </w:rPr>
        <w:t xml:space="preserve">De lo establecido en </w:t>
      </w:r>
      <w:r w:rsidR="00FD7DAD">
        <w:rPr>
          <w:b/>
        </w:rPr>
        <w:t>la cláusula</w:t>
      </w:r>
      <w:r w:rsidRPr="00EF7317">
        <w:rPr>
          <w:b/>
        </w:rPr>
        <w:t xml:space="preserve"> </w:t>
      </w:r>
      <w:r>
        <w:rPr>
          <w:b/>
        </w:rPr>
        <w:t>DECIMOSEGUNDA</w:t>
      </w:r>
      <w:r w:rsidRPr="00EF7317">
        <w:rPr>
          <w:b/>
        </w:rPr>
        <w:t xml:space="preserve">, en relación a los </w:t>
      </w:r>
      <w:r w:rsidRPr="00592276">
        <w:rPr>
          <w:b/>
        </w:rPr>
        <w:t xml:space="preserve">compromisos en materia de </w:t>
      </w:r>
      <w:r w:rsidRPr="00592276">
        <w:rPr>
          <w:b/>
          <w:u w:val="single"/>
        </w:rPr>
        <w:t>responsabilidad fiscal</w:t>
      </w:r>
      <w:r w:rsidRPr="00EF7317">
        <w:rPr>
          <w:b/>
        </w:rPr>
        <w:t>:</w:t>
      </w:r>
    </w:p>
    <w:p w:rsidR="00D7201E" w:rsidRDefault="00D7201E" w:rsidP="00D7201E">
      <w:pPr>
        <w:pStyle w:val="Prrafodelista"/>
        <w:numPr>
          <w:ilvl w:val="0"/>
          <w:numId w:val="14"/>
        </w:numPr>
        <w:spacing w:line="360" w:lineRule="auto"/>
        <w:jc w:val="both"/>
      </w:pPr>
      <w:r w:rsidRPr="00D7201E">
        <w:t>Nueva incorporación, el mismo no estaba contemplado en el Consenso Fiscal 2020. Retoma la vigencia de artículos y cláusulas suspendidas de la Ley N.º 25.917 y m</w:t>
      </w:r>
      <w:r w:rsidR="00F530B8">
        <w:t>odificatorias, con adecuaciones:</w:t>
      </w:r>
    </w:p>
    <w:p w:rsidR="00F530B8" w:rsidRDefault="00F530B8" w:rsidP="00F530B8">
      <w:pPr>
        <w:pStyle w:val="Prrafodelista"/>
        <w:numPr>
          <w:ilvl w:val="1"/>
          <w:numId w:val="14"/>
        </w:numPr>
        <w:spacing w:line="360" w:lineRule="auto"/>
        <w:jc w:val="both"/>
      </w:pPr>
      <w:r>
        <w:t>La regla de límite de crecimiento del gasto estará regida por el incremento del PIB.</w:t>
      </w:r>
    </w:p>
    <w:p w:rsidR="00F530B8" w:rsidRDefault="00F530B8" w:rsidP="00F530B8">
      <w:pPr>
        <w:pStyle w:val="Prrafodelista"/>
        <w:numPr>
          <w:ilvl w:val="1"/>
          <w:numId w:val="14"/>
        </w:numPr>
        <w:spacing w:line="360" w:lineRule="auto"/>
        <w:jc w:val="both"/>
      </w:pPr>
      <w:r>
        <w:t>En atención al impacto de la pandemia, para el Ejercicio 2022 se considerará un proceso de transición y adecuación en materia de cumplimiento de las pautas de gasto y de empleo público.</w:t>
      </w:r>
    </w:p>
    <w:p w:rsidR="00F530B8" w:rsidRDefault="00A73C6A" w:rsidP="00F530B8">
      <w:pPr>
        <w:pStyle w:val="Prrafodelista"/>
        <w:numPr>
          <w:ilvl w:val="1"/>
          <w:numId w:val="14"/>
        </w:numPr>
        <w:spacing w:line="360" w:lineRule="auto"/>
        <w:jc w:val="both"/>
      </w:pPr>
      <w:r>
        <w:t>El producido del endeudamiento global no podrá destinarse a gastos corrientes.</w:t>
      </w:r>
    </w:p>
    <w:p w:rsidR="00A73C6A" w:rsidRDefault="00A73C6A" w:rsidP="00A73C6A">
      <w:pPr>
        <w:pStyle w:val="Prrafodelista"/>
        <w:numPr>
          <w:ilvl w:val="1"/>
          <w:numId w:val="14"/>
        </w:numPr>
        <w:spacing w:line="360" w:lineRule="auto"/>
        <w:jc w:val="both"/>
      </w:pPr>
      <w:r>
        <w:t>Se suministrará un mecanismo de información básica para cumplimentar el artículo 15 bis de la Ley de Responsabilidad Fiscal.</w:t>
      </w:r>
    </w:p>
    <w:p w:rsidR="00EF7317" w:rsidRDefault="00D7201E" w:rsidP="00A73C6A">
      <w:pPr>
        <w:pStyle w:val="Prrafodelista"/>
        <w:numPr>
          <w:ilvl w:val="1"/>
          <w:numId w:val="14"/>
        </w:numPr>
        <w:spacing w:line="360" w:lineRule="auto"/>
        <w:jc w:val="both"/>
      </w:pPr>
      <w:r w:rsidRPr="00D7201E">
        <w:lastRenderedPageBreak/>
        <w:t>Deroga artículo 18 bis, en donde se comprometían a no incrementar la presión fiscal legal.</w:t>
      </w:r>
    </w:p>
    <w:p w:rsidR="00EF7317" w:rsidRDefault="00EF7317" w:rsidP="001455B2">
      <w:pPr>
        <w:spacing w:line="360" w:lineRule="auto"/>
        <w:ind w:firstLine="1134"/>
        <w:jc w:val="both"/>
      </w:pPr>
    </w:p>
    <w:p w:rsidR="00EF7317" w:rsidRDefault="00EF7317" w:rsidP="00EF7317">
      <w:pPr>
        <w:spacing w:line="360" w:lineRule="auto"/>
        <w:ind w:firstLine="1134"/>
        <w:jc w:val="both"/>
      </w:pPr>
    </w:p>
    <w:p w:rsidR="00EF7317" w:rsidRPr="00EF7317" w:rsidRDefault="00EF7317" w:rsidP="00EF7317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</w:rPr>
      </w:pPr>
      <w:r w:rsidRPr="00EF7317">
        <w:rPr>
          <w:b/>
        </w:rPr>
        <w:t xml:space="preserve">De lo establecido en </w:t>
      </w:r>
      <w:r w:rsidR="00FD7DAD">
        <w:rPr>
          <w:b/>
        </w:rPr>
        <w:t>la cláusula</w:t>
      </w:r>
      <w:r w:rsidRPr="00EF7317">
        <w:rPr>
          <w:b/>
        </w:rPr>
        <w:t xml:space="preserve"> </w:t>
      </w:r>
      <w:r>
        <w:rPr>
          <w:b/>
        </w:rPr>
        <w:t>DECIMOTERCERA</w:t>
      </w:r>
      <w:r w:rsidRPr="00EF7317">
        <w:rPr>
          <w:b/>
        </w:rPr>
        <w:t xml:space="preserve">, en relación a los compromisos en </w:t>
      </w:r>
      <w:r w:rsidRPr="00592276">
        <w:rPr>
          <w:b/>
        </w:rPr>
        <w:t xml:space="preserve">materia de </w:t>
      </w:r>
      <w:r w:rsidRPr="00592276">
        <w:rPr>
          <w:b/>
          <w:u w:val="single"/>
        </w:rPr>
        <w:t>procesos judiciales</w:t>
      </w:r>
      <w:r w:rsidRPr="00EF7317">
        <w:rPr>
          <w:b/>
        </w:rPr>
        <w:t>:</w:t>
      </w:r>
    </w:p>
    <w:p w:rsidR="00EF7317" w:rsidRDefault="00D7201E" w:rsidP="00D7201E">
      <w:pPr>
        <w:pStyle w:val="Prrafodelista"/>
        <w:numPr>
          <w:ilvl w:val="0"/>
          <w:numId w:val="14"/>
        </w:numPr>
        <w:spacing w:line="360" w:lineRule="auto"/>
        <w:jc w:val="both"/>
      </w:pPr>
      <w:r w:rsidRPr="00D7201E">
        <w:t>Al igual que el año anterior, las Provincias se comprometen a abstenerse por un período de 1 año de iniciar procesos judiciales, y suspender por igual término los ya iniciados, relativos al Régimen de Coparticipación Federal de Impuestos, a afectaciones específicas de recursos y transferencias de competencias, servicios o funciones.</w:t>
      </w:r>
    </w:p>
    <w:p w:rsidR="00EF7317" w:rsidRDefault="00EF7317" w:rsidP="001455B2">
      <w:pPr>
        <w:spacing w:line="360" w:lineRule="auto"/>
        <w:ind w:firstLine="1134"/>
        <w:jc w:val="both"/>
      </w:pPr>
    </w:p>
    <w:p w:rsidR="00EF7317" w:rsidRDefault="00EF7317" w:rsidP="00EF7317">
      <w:pPr>
        <w:spacing w:line="360" w:lineRule="auto"/>
        <w:ind w:firstLine="1134"/>
        <w:jc w:val="both"/>
      </w:pPr>
    </w:p>
    <w:p w:rsidR="00EF7317" w:rsidRPr="00EF7317" w:rsidRDefault="00EF7317" w:rsidP="00EF7317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</w:rPr>
      </w:pPr>
      <w:r w:rsidRPr="00EF7317">
        <w:rPr>
          <w:b/>
        </w:rPr>
        <w:t xml:space="preserve">De lo establecido en </w:t>
      </w:r>
      <w:r w:rsidR="00FD7DAD">
        <w:rPr>
          <w:b/>
        </w:rPr>
        <w:t>las cláusulas</w:t>
      </w:r>
      <w:r w:rsidRPr="00EF7317">
        <w:rPr>
          <w:b/>
        </w:rPr>
        <w:t xml:space="preserve"> </w:t>
      </w:r>
      <w:r>
        <w:rPr>
          <w:b/>
        </w:rPr>
        <w:t xml:space="preserve">DECIMOCUARTA </w:t>
      </w:r>
      <w:r w:rsidRPr="00EF7317">
        <w:rPr>
          <w:b/>
        </w:rPr>
        <w:t xml:space="preserve">a </w:t>
      </w:r>
      <w:r w:rsidR="00EB562D">
        <w:rPr>
          <w:b/>
        </w:rPr>
        <w:t>DECIMOQUINTA</w:t>
      </w:r>
      <w:r w:rsidRPr="00EF7317">
        <w:rPr>
          <w:b/>
        </w:rPr>
        <w:t xml:space="preserve">, en relación a los compromisos </w:t>
      </w:r>
      <w:r w:rsidR="00EB562D">
        <w:rPr>
          <w:b/>
        </w:rPr>
        <w:t xml:space="preserve">del </w:t>
      </w:r>
      <w:r w:rsidR="00EB562D" w:rsidRPr="00592276">
        <w:rPr>
          <w:b/>
          <w:u w:val="single"/>
        </w:rPr>
        <w:t>Gobierno Nacional</w:t>
      </w:r>
      <w:r w:rsidRPr="00EF7317">
        <w:rPr>
          <w:b/>
        </w:rPr>
        <w:t>:</w:t>
      </w:r>
    </w:p>
    <w:p w:rsidR="00EF7317" w:rsidRDefault="00723140" w:rsidP="00EF7317">
      <w:pPr>
        <w:pStyle w:val="Prrafodelista"/>
        <w:numPr>
          <w:ilvl w:val="0"/>
          <w:numId w:val="14"/>
        </w:numPr>
        <w:spacing w:line="360" w:lineRule="auto"/>
        <w:jc w:val="both"/>
      </w:pPr>
      <w:r>
        <w:t>El Gobierno Nacional se compromete a cancelar en 12 cuotas mensuales e iguales a partir de 01/2022 los saldos que se hallaren pendientes de cancelación en cumplimiento de actualización de las Compensaciones de los incisos a), b), d) y e) de la Cláusula II del Consenso Fiscal 2017.</w:t>
      </w:r>
    </w:p>
    <w:p w:rsidR="00723140" w:rsidRDefault="00723140" w:rsidP="00EF7317">
      <w:pPr>
        <w:pStyle w:val="Prrafodelista"/>
        <w:numPr>
          <w:ilvl w:val="0"/>
          <w:numId w:val="14"/>
        </w:numPr>
        <w:spacing w:line="360" w:lineRule="auto"/>
        <w:jc w:val="both"/>
      </w:pPr>
      <w:r>
        <w:t>Se contempla la posibilidad de realizar un proceso de compensación de deudas entre las partes.</w:t>
      </w:r>
    </w:p>
    <w:p w:rsidR="00EF7317" w:rsidRDefault="00EF7317" w:rsidP="001455B2">
      <w:pPr>
        <w:spacing w:line="360" w:lineRule="auto"/>
        <w:ind w:firstLine="1134"/>
        <w:jc w:val="both"/>
      </w:pPr>
    </w:p>
    <w:p w:rsidR="00EB562D" w:rsidRDefault="00EB562D" w:rsidP="001455B2">
      <w:pPr>
        <w:spacing w:line="360" w:lineRule="auto"/>
        <w:ind w:firstLine="1134"/>
        <w:jc w:val="both"/>
      </w:pPr>
    </w:p>
    <w:p w:rsidR="00EB562D" w:rsidRPr="00EF7317" w:rsidRDefault="00EB562D" w:rsidP="00EB562D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</w:rPr>
      </w:pPr>
      <w:r w:rsidRPr="00EF7317">
        <w:rPr>
          <w:b/>
        </w:rPr>
        <w:t xml:space="preserve">De lo establecido en </w:t>
      </w:r>
      <w:r w:rsidR="00FD7DAD">
        <w:rPr>
          <w:b/>
        </w:rPr>
        <w:t>la cláusula</w:t>
      </w:r>
      <w:r w:rsidRPr="00EF7317">
        <w:rPr>
          <w:b/>
        </w:rPr>
        <w:t xml:space="preserve"> </w:t>
      </w:r>
      <w:r>
        <w:rPr>
          <w:b/>
        </w:rPr>
        <w:t xml:space="preserve">DECIMOSEXTA </w:t>
      </w:r>
      <w:r w:rsidRPr="00EF7317">
        <w:rPr>
          <w:b/>
        </w:rPr>
        <w:t xml:space="preserve">a </w:t>
      </w:r>
      <w:r>
        <w:rPr>
          <w:b/>
        </w:rPr>
        <w:t>DECIMOSEPTIMA</w:t>
      </w:r>
      <w:r w:rsidRPr="00EF7317">
        <w:rPr>
          <w:b/>
        </w:rPr>
        <w:t xml:space="preserve">, en relación a los </w:t>
      </w:r>
      <w:r w:rsidRPr="00592276">
        <w:rPr>
          <w:b/>
          <w:u w:val="single"/>
        </w:rPr>
        <w:t>compromisos comunes</w:t>
      </w:r>
      <w:r w:rsidRPr="00EF7317">
        <w:rPr>
          <w:b/>
        </w:rPr>
        <w:t>:</w:t>
      </w:r>
    </w:p>
    <w:p w:rsidR="00EB562D" w:rsidRDefault="00723140" w:rsidP="00EB562D">
      <w:pPr>
        <w:pStyle w:val="Prrafodelista"/>
        <w:numPr>
          <w:ilvl w:val="0"/>
          <w:numId w:val="14"/>
        </w:numPr>
        <w:spacing w:line="360" w:lineRule="auto"/>
        <w:jc w:val="both"/>
      </w:pPr>
      <w:r>
        <w:lastRenderedPageBreak/>
        <w:t>Se acuerda dejar sin efecto las obligaciones tributarias establecidas en los Consensos Fiscales 2017, 2018, 2019 y 2020, teniendo únicamente como exigibles aquellas cuyo cumplimiento se haya efectivizado a la fecha de la firma del presente consenso.</w:t>
      </w:r>
    </w:p>
    <w:p w:rsidR="00723140" w:rsidRDefault="00723140" w:rsidP="00EB562D">
      <w:pPr>
        <w:pStyle w:val="Prrafodelista"/>
        <w:numPr>
          <w:ilvl w:val="0"/>
          <w:numId w:val="14"/>
        </w:numPr>
        <w:spacing w:line="360" w:lineRule="auto"/>
        <w:jc w:val="both"/>
      </w:pPr>
      <w:r>
        <w:t>Las Provincias se comprometen a promulgar, en el plazo de 30 días, la ley para aprobar el presente acuerdo, modificar las leyes necesarias para cumplirlo y autorizar a los respectivos poderes ejecutivos para dictar normas a tal fin.</w:t>
      </w:r>
    </w:p>
    <w:p w:rsidR="00EB562D" w:rsidRDefault="00EB562D" w:rsidP="001455B2">
      <w:pPr>
        <w:spacing w:line="360" w:lineRule="auto"/>
        <w:ind w:firstLine="1134"/>
        <w:jc w:val="both"/>
      </w:pPr>
    </w:p>
    <w:p w:rsidR="00C5588D" w:rsidRPr="00C5588D" w:rsidRDefault="00F01AB8" w:rsidP="00C5588D">
      <w:pPr>
        <w:spacing w:line="360" w:lineRule="auto"/>
        <w:ind w:firstLine="1134"/>
        <w:jc w:val="both"/>
      </w:pPr>
      <w:bookmarkStart w:id="3" w:name="_GoBack"/>
      <w:bookmarkEnd w:id="3"/>
      <w:r>
        <w:t>Finalmente, cabe destacar que lo contemplado en las cláusulas 8º a 15º serán analizadas en el marco de la Cuenta General del Ejercicio.</w:t>
      </w:r>
    </w:p>
    <w:p w:rsidR="00C5588D" w:rsidRDefault="00C5588D">
      <w:pPr>
        <w:spacing w:line="360" w:lineRule="auto"/>
        <w:ind w:firstLine="1134"/>
        <w:jc w:val="both"/>
        <w:rPr>
          <w:szCs w:val="26"/>
        </w:rPr>
      </w:pPr>
    </w:p>
    <w:p w:rsidR="002142BD" w:rsidRDefault="00AC5621" w:rsidP="00676FEF">
      <w:pPr>
        <w:spacing w:line="360" w:lineRule="auto"/>
        <w:ind w:firstLine="1134"/>
        <w:jc w:val="both"/>
      </w:pPr>
      <w:r>
        <w:rPr>
          <w:szCs w:val="26"/>
        </w:rPr>
        <w:t>Sin otro particular elevo a su consideración un ejemplar del presente informe</w:t>
      </w:r>
      <w:r w:rsidR="00C5588D">
        <w:rPr>
          <w:szCs w:val="26"/>
        </w:rPr>
        <w:t>.</w:t>
      </w:r>
    </w:p>
    <w:sectPr w:rsidR="002142B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3538" w:right="1134" w:bottom="1744" w:left="2268" w:header="1162" w:footer="1162" w:gutter="0"/>
      <w:cols w:space="720"/>
      <w:formProt w:val="0"/>
      <w:docGrid w:linePitch="312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A8" w:rsidRDefault="00FE67A8">
      <w:r>
        <w:separator/>
      </w:r>
    </w:p>
  </w:endnote>
  <w:endnote w:type="continuationSeparator" w:id="0">
    <w:p w:rsidR="00FE67A8" w:rsidRDefault="00FE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AC5621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“Las Islas Malvinas, </w:t>
    </w:r>
    <w:proofErr w:type="spellStart"/>
    <w:r>
      <w:rPr>
        <w:color w:val="000000"/>
        <w:sz w:val="16"/>
        <w:szCs w:val="16"/>
      </w:rPr>
      <w:t>Georgias</w:t>
    </w:r>
    <w:proofErr w:type="spellEnd"/>
    <w:r>
      <w:rPr>
        <w:color w:val="000000"/>
        <w:sz w:val="16"/>
        <w:szCs w:val="16"/>
      </w:rPr>
      <w:t xml:space="preserve">, </w:t>
    </w:r>
    <w:proofErr w:type="spellStart"/>
    <w:r>
      <w:rPr>
        <w:color w:val="000000"/>
        <w:sz w:val="16"/>
        <w:szCs w:val="16"/>
      </w:rPr>
      <w:t>Sandwich</w:t>
    </w:r>
    <w:proofErr w:type="spellEnd"/>
    <w:r>
      <w:rPr>
        <w:color w:val="000000"/>
        <w:sz w:val="16"/>
        <w:szCs w:val="16"/>
      </w:rPr>
      <w:t xml:space="preserve"> del Sur son y serán </w:t>
    </w:r>
    <w:proofErr w:type="gramStart"/>
    <w:r>
      <w:rPr>
        <w:color w:val="000000"/>
        <w:sz w:val="16"/>
        <w:szCs w:val="16"/>
      </w:rPr>
      <w:t>Argentinas</w:t>
    </w:r>
    <w:proofErr w:type="gramEnd"/>
    <w:r>
      <w:rPr>
        <w:color w:val="000000"/>
        <w:sz w:val="16"/>
        <w:szCs w:val="16"/>
      </w:rPr>
      <w:t xml:space="preserve">” </w:t>
    </w:r>
    <w:r>
      <w:rPr>
        <w:sz w:val="16"/>
        <w:szCs w:val="16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AC5621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“Las Islas Malvinas, </w:t>
    </w:r>
    <w:proofErr w:type="spellStart"/>
    <w:r>
      <w:rPr>
        <w:color w:val="000000"/>
        <w:sz w:val="16"/>
        <w:szCs w:val="16"/>
      </w:rPr>
      <w:t>Georgias</w:t>
    </w:r>
    <w:proofErr w:type="spellEnd"/>
    <w:r>
      <w:rPr>
        <w:color w:val="000000"/>
        <w:sz w:val="16"/>
        <w:szCs w:val="16"/>
      </w:rPr>
      <w:t xml:space="preserve">, </w:t>
    </w:r>
    <w:proofErr w:type="spellStart"/>
    <w:r>
      <w:rPr>
        <w:color w:val="000000"/>
        <w:sz w:val="16"/>
        <w:szCs w:val="16"/>
      </w:rPr>
      <w:t>Sandwich</w:t>
    </w:r>
    <w:proofErr w:type="spellEnd"/>
    <w:r>
      <w:rPr>
        <w:color w:val="000000"/>
        <w:sz w:val="16"/>
        <w:szCs w:val="16"/>
      </w:rPr>
      <w:t xml:space="preserve"> del Sur son y serán </w:t>
    </w:r>
    <w:proofErr w:type="gramStart"/>
    <w:r>
      <w:rPr>
        <w:color w:val="000000"/>
        <w:sz w:val="16"/>
        <w:szCs w:val="16"/>
      </w:rPr>
      <w:t>Argentinas</w:t>
    </w:r>
    <w:proofErr w:type="gramEnd"/>
    <w:r>
      <w:rPr>
        <w:color w:val="000000"/>
        <w:sz w:val="16"/>
        <w:szCs w:val="16"/>
      </w:rPr>
      <w:t xml:space="preserve">” </w:t>
    </w:r>
    <w:r>
      <w:rPr>
        <w:sz w:val="16"/>
        <w:szCs w:val="16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AC5621" w:rsidP="00AC562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33653" w:rsidRPr="00D33653">
      <w:rPr>
        <w:noProof/>
        <w:lang w:val="es-ES"/>
      </w:rPr>
      <w:t>10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AC5621" w:rsidP="00AC562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33653" w:rsidRPr="00D33653">
      <w:rPr>
        <w:noProof/>
        <w:lang w:val="es-ES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A8" w:rsidRDefault="00FE67A8">
      <w:r>
        <w:separator/>
      </w:r>
    </w:p>
  </w:footnote>
  <w:footnote w:type="continuationSeparator" w:id="0">
    <w:p w:rsidR="00FE67A8" w:rsidRDefault="00FE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AC5621">
    <w:pPr>
      <w:pStyle w:val="Encabezado"/>
    </w:pPr>
    <w:r>
      <w:rPr>
        <w:noProof/>
        <w:lang w:eastAsia="es-AR" w:bidi="ar-SA"/>
      </w:rPr>
      <w:drawing>
        <wp:anchor distT="0" distB="0" distL="0" distR="0" simplePos="0" relativeHeight="251659264" behindDoc="0" locked="0" layoutInCell="0" allowOverlap="1" wp14:anchorId="323B9C3D" wp14:editId="33E598EB">
          <wp:simplePos x="0" y="0"/>
          <wp:positionH relativeFrom="column">
            <wp:posOffset>-403225</wp:posOffset>
          </wp:positionH>
          <wp:positionV relativeFrom="paragraph">
            <wp:posOffset>635</wp:posOffset>
          </wp:positionV>
          <wp:extent cx="5791835" cy="1265555"/>
          <wp:effectExtent l="0" t="0" r="0" b="0"/>
          <wp:wrapSquare wrapText="largest"/>
          <wp:docPr id="7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AC5621">
    <w:pPr>
      <w:pStyle w:val="Encabezado"/>
      <w:jc w:val="right"/>
    </w:pPr>
    <w:r>
      <w:rPr>
        <w:sz w:val="20"/>
        <w:szCs w:val="20"/>
      </w:rPr>
      <w:t xml:space="preserve"> "2022 - 40° Aniversario de la Gesta </w:t>
    </w:r>
    <w:proofErr w:type="spellStart"/>
    <w:r>
      <w:rPr>
        <w:sz w:val="20"/>
        <w:szCs w:val="20"/>
      </w:rPr>
      <w:t>Heróica</w:t>
    </w:r>
    <w:proofErr w:type="spellEnd"/>
    <w:r>
      <w:rPr>
        <w:sz w:val="20"/>
        <w:szCs w:val="20"/>
      </w:rPr>
      <w:t xml:space="preserve"> de Malvinas"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AC5621" w:rsidP="00AC5621">
    <w:pPr>
      <w:pStyle w:val="Encabezado"/>
      <w:tabs>
        <w:tab w:val="clear" w:pos="8504"/>
      </w:tabs>
      <w:jc w:val="right"/>
    </w:pPr>
    <w:r>
      <w:rPr>
        <w:noProof/>
        <w:lang w:eastAsia="es-AR" w:bidi="ar-SA"/>
      </w:rPr>
      <w:drawing>
        <wp:anchor distT="0" distB="0" distL="0" distR="0" simplePos="0" relativeHeight="251660288" behindDoc="0" locked="0" layoutInCell="0" allowOverlap="1" wp14:anchorId="0A283129" wp14:editId="42F2B7CE">
          <wp:simplePos x="0" y="0"/>
          <wp:positionH relativeFrom="column">
            <wp:posOffset>-403225</wp:posOffset>
          </wp:positionH>
          <wp:positionV relativeFrom="paragraph">
            <wp:posOffset>635</wp:posOffset>
          </wp:positionV>
          <wp:extent cx="5791835" cy="1265555"/>
          <wp:effectExtent l="0" t="0" r="0" b="0"/>
          <wp:wrapSquare wrapText="largest"/>
          <wp:docPr id="8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0"/>
        <w:szCs w:val="20"/>
      </w:rPr>
      <w:t xml:space="preserve">"2022 - 40° Aniversario de la Gesta </w:t>
    </w:r>
    <w:r w:rsidR="00A31071">
      <w:rPr>
        <w:sz w:val="20"/>
        <w:szCs w:val="20"/>
      </w:rPr>
      <w:t>Heroica</w:t>
    </w:r>
    <w:r>
      <w:rPr>
        <w:sz w:val="20"/>
        <w:szCs w:val="20"/>
      </w:rPr>
      <w:t xml:space="preserve"> de Malvinas"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  <w:p w:rsidR="002142BD" w:rsidRDefault="002142BD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BD" w:rsidRPr="00AC5621" w:rsidRDefault="00AC5621" w:rsidP="00AC5621">
    <w:pPr>
      <w:pStyle w:val="Encabezado"/>
      <w:jc w:val="right"/>
      <w:rPr>
        <w:sz w:val="20"/>
        <w:szCs w:val="20"/>
      </w:rPr>
    </w:pPr>
    <w:r>
      <w:rPr>
        <w:noProof/>
        <w:lang w:eastAsia="es-AR" w:bidi="ar-SA"/>
      </w:rPr>
      <w:drawing>
        <wp:anchor distT="0" distB="0" distL="0" distR="0" simplePos="0" relativeHeight="251662336" behindDoc="0" locked="0" layoutInCell="0" allowOverlap="1" wp14:anchorId="12A813A3" wp14:editId="55061DCB">
          <wp:simplePos x="0" y="0"/>
          <wp:positionH relativeFrom="column">
            <wp:posOffset>-73660</wp:posOffset>
          </wp:positionH>
          <wp:positionV relativeFrom="paragraph">
            <wp:posOffset>635</wp:posOffset>
          </wp:positionV>
          <wp:extent cx="5401310" cy="1223645"/>
          <wp:effectExtent l="0" t="0" r="0" b="0"/>
          <wp:wrapSquare wrapText="largest"/>
          <wp:docPr id="1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"2022 - 40° Aniversario de la Gesta Heroica de Malvinas"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8F"/>
    <w:multiLevelType w:val="multilevel"/>
    <w:tmpl w:val="7FA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444F3B"/>
    <w:multiLevelType w:val="hybridMultilevel"/>
    <w:tmpl w:val="D71E1964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B410B"/>
    <w:multiLevelType w:val="hybridMultilevel"/>
    <w:tmpl w:val="2F38076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A9353A"/>
    <w:multiLevelType w:val="hybridMultilevel"/>
    <w:tmpl w:val="7452FD9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26C"/>
    <w:multiLevelType w:val="hybridMultilevel"/>
    <w:tmpl w:val="1D22E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D2F"/>
    <w:multiLevelType w:val="multilevel"/>
    <w:tmpl w:val="4E2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4A73144"/>
    <w:multiLevelType w:val="multilevel"/>
    <w:tmpl w:val="6852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5C60335"/>
    <w:multiLevelType w:val="multilevel"/>
    <w:tmpl w:val="72CEAF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4CD374F1"/>
    <w:multiLevelType w:val="hybridMultilevel"/>
    <w:tmpl w:val="336658F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66D53"/>
    <w:multiLevelType w:val="multilevel"/>
    <w:tmpl w:val="92184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EEE1F6F"/>
    <w:multiLevelType w:val="hybridMultilevel"/>
    <w:tmpl w:val="F67ECA7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162DB"/>
    <w:multiLevelType w:val="multilevel"/>
    <w:tmpl w:val="641A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BA6747"/>
    <w:multiLevelType w:val="multilevel"/>
    <w:tmpl w:val="D12E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F973248"/>
    <w:multiLevelType w:val="hybridMultilevel"/>
    <w:tmpl w:val="7772DC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34D8"/>
    <w:multiLevelType w:val="multilevel"/>
    <w:tmpl w:val="E326D142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mirrorMargins/>
  <w:proofState w:spelling="clean" w:grammar="clean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A8"/>
    <w:rsid w:val="00100714"/>
    <w:rsid w:val="00140433"/>
    <w:rsid w:val="0014547E"/>
    <w:rsid w:val="001455B2"/>
    <w:rsid w:val="001761A4"/>
    <w:rsid w:val="00186580"/>
    <w:rsid w:val="00197885"/>
    <w:rsid w:val="001C13E7"/>
    <w:rsid w:val="001D7524"/>
    <w:rsid w:val="002142BD"/>
    <w:rsid w:val="00312F07"/>
    <w:rsid w:val="00367247"/>
    <w:rsid w:val="00376ABD"/>
    <w:rsid w:val="003A129A"/>
    <w:rsid w:val="00451024"/>
    <w:rsid w:val="004B17EB"/>
    <w:rsid w:val="004B3E30"/>
    <w:rsid w:val="004F15F3"/>
    <w:rsid w:val="005009D2"/>
    <w:rsid w:val="00516AAC"/>
    <w:rsid w:val="00592276"/>
    <w:rsid w:val="00595B2A"/>
    <w:rsid w:val="00602B5A"/>
    <w:rsid w:val="00645D5A"/>
    <w:rsid w:val="006665CC"/>
    <w:rsid w:val="00670FBA"/>
    <w:rsid w:val="00676FEF"/>
    <w:rsid w:val="00690F51"/>
    <w:rsid w:val="006916EE"/>
    <w:rsid w:val="00696831"/>
    <w:rsid w:val="00723140"/>
    <w:rsid w:val="00822C9E"/>
    <w:rsid w:val="008244B4"/>
    <w:rsid w:val="008340C5"/>
    <w:rsid w:val="008845A3"/>
    <w:rsid w:val="008B0B80"/>
    <w:rsid w:val="008D593F"/>
    <w:rsid w:val="009325AD"/>
    <w:rsid w:val="009863EA"/>
    <w:rsid w:val="00A31071"/>
    <w:rsid w:val="00A73C6A"/>
    <w:rsid w:val="00A83DFB"/>
    <w:rsid w:val="00A87ED9"/>
    <w:rsid w:val="00AC30E0"/>
    <w:rsid w:val="00AC5621"/>
    <w:rsid w:val="00AD55A4"/>
    <w:rsid w:val="00B00614"/>
    <w:rsid w:val="00B833F3"/>
    <w:rsid w:val="00C00531"/>
    <w:rsid w:val="00C3357E"/>
    <w:rsid w:val="00C5588D"/>
    <w:rsid w:val="00C71B2C"/>
    <w:rsid w:val="00C71EAC"/>
    <w:rsid w:val="00D33653"/>
    <w:rsid w:val="00D416AD"/>
    <w:rsid w:val="00D5020A"/>
    <w:rsid w:val="00D7201E"/>
    <w:rsid w:val="00D85F2A"/>
    <w:rsid w:val="00D91793"/>
    <w:rsid w:val="00DF266A"/>
    <w:rsid w:val="00DF481F"/>
    <w:rsid w:val="00E04F56"/>
    <w:rsid w:val="00E46C02"/>
    <w:rsid w:val="00E63371"/>
    <w:rsid w:val="00EB562D"/>
    <w:rsid w:val="00EF1248"/>
    <w:rsid w:val="00EF7317"/>
    <w:rsid w:val="00F01AB8"/>
    <w:rsid w:val="00F5041E"/>
    <w:rsid w:val="00F530B8"/>
    <w:rsid w:val="00F72A5D"/>
    <w:rsid w:val="00FC1BCF"/>
    <w:rsid w:val="00FD7DAD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0D657"/>
  <w15:docId w15:val="{687DEC2B-988E-4DF6-BD04-C64C6F6E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Ttulo"/>
    <w:next w:val="Textoindependiente"/>
    <w:qFormat/>
    <w:pPr>
      <w:numPr>
        <w:numId w:val="1"/>
      </w:numPr>
      <w:shd w:val="clear" w:color="auto" w:fill="CCCCCC"/>
      <w:outlineLvl w:val="0"/>
    </w:pPr>
    <w:rPr>
      <w:rFonts w:ascii="Liberation Serif" w:hAnsi="Liberation Serif"/>
      <w:b/>
      <w:bCs/>
      <w:sz w:val="2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Cabeceraypie"/>
  </w:style>
  <w:style w:type="paragraph" w:customStyle="1" w:styleId="Cabeceraizquierda">
    <w:name w:val="Cabecera izquierda"/>
    <w:basedOn w:val="Encabezado"/>
    <w:qFormat/>
  </w:style>
  <w:style w:type="paragraph" w:styleId="Piedepgina">
    <w:name w:val="footer"/>
    <w:basedOn w:val="Cabeceraypie"/>
  </w:style>
  <w:style w:type="paragraph" w:styleId="Ttulodendice">
    <w:name w:val="index heading"/>
    <w:basedOn w:val="Ttulo"/>
    <w:pPr>
      <w:suppressLineNumbers/>
    </w:pPr>
    <w:rPr>
      <w:b/>
      <w:bCs/>
      <w:sz w:val="32"/>
      <w:szCs w:val="32"/>
    </w:rPr>
  </w:style>
  <w:style w:type="paragraph" w:styleId="Encabezadodelista">
    <w:name w:val="toa heading"/>
    <w:basedOn w:val="Ttulodendice"/>
    <w:pPr>
      <w:shd w:val="clear" w:color="auto" w:fill="FFFFFF"/>
      <w:jc w:val="center"/>
    </w:pPr>
    <w:rPr>
      <w:rFonts w:ascii="Liberation Serif" w:hAnsi="Liberation Serif"/>
      <w:sz w:val="26"/>
    </w:rPr>
  </w:style>
  <w:style w:type="paragraph" w:styleId="TDC1">
    <w:name w:val="toc 1"/>
    <w:basedOn w:val="ndice"/>
    <w:uiPriority w:val="39"/>
    <w:pPr>
      <w:tabs>
        <w:tab w:val="right" w:leader="dot" w:pos="8504"/>
      </w:tabs>
    </w:pPr>
  </w:style>
  <w:style w:type="character" w:styleId="Hipervnculo">
    <w:name w:val="Hyperlink"/>
    <w:basedOn w:val="Fuentedeprrafopredeter"/>
    <w:uiPriority w:val="99"/>
    <w:unhideWhenUsed/>
    <w:rsid w:val="00AC5621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F72A5D"/>
    <w:pPr>
      <w:autoSpaceDN w:val="0"/>
      <w:spacing w:after="120" w:line="360" w:lineRule="auto"/>
      <w:ind w:firstLine="1417"/>
      <w:jc w:val="both"/>
      <w:textAlignment w:val="baseline"/>
    </w:pPr>
    <w:rPr>
      <w:rFonts w:eastAsia="Times New Roman" w:cs="Times New Roman"/>
      <w:kern w:val="3"/>
      <w:lang w:bidi="ar-SA"/>
    </w:rPr>
  </w:style>
  <w:style w:type="character" w:customStyle="1" w:styleId="StrongEmphasis">
    <w:name w:val="Strong Emphasis"/>
    <w:rsid w:val="00F72A5D"/>
    <w:rPr>
      <w:b/>
      <w:bCs/>
    </w:rPr>
  </w:style>
  <w:style w:type="paragraph" w:styleId="Prrafodelista">
    <w:name w:val="List Paragraph"/>
    <w:basedOn w:val="Normal"/>
    <w:uiPriority w:val="34"/>
    <w:qFormat/>
    <w:rsid w:val="00AC30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31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3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uig\Downloads\01-P2022-IC_a_SC_CPreven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8657-9629-4B4C-BA4C-50EA52D3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01-P2022-IC_a_SC_CPreventivo.dotx</Template>
  <TotalTime>936</TotalTime>
  <Pages>10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mpuig</dc:creator>
  <dc:description/>
  <cp:lastModifiedBy>mpardo</cp:lastModifiedBy>
  <cp:revision>37</cp:revision>
  <cp:lastPrinted>2022-10-14T12:04:00Z</cp:lastPrinted>
  <dcterms:created xsi:type="dcterms:W3CDTF">2022-10-13T14:15:00Z</dcterms:created>
  <dcterms:modified xsi:type="dcterms:W3CDTF">2022-10-24T18:17:00Z</dcterms:modified>
  <dc:language>es-AR</dc:language>
</cp:coreProperties>
</file>